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>6.4.1 Institution conducts internal or/and external financial audit regularly</w:t>
      </w: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College conducts audit in accordance with auditing standards generally accepted </w:t>
      </w: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>and</w:t>
      </w:r>
      <w:proofErr w:type="gramEnd"/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insisted by the Government of Kerala.</w:t>
      </w:r>
      <w:r w:rsidR="002B5F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Those standards require College plan and perform the audit in </w:t>
      </w: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collaboration with chartered Accountant. </w:t>
      </w:r>
    </w:p>
    <w:p w:rsid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financial audit is conducted annually at different levels </w:t>
      </w:r>
    </w:p>
    <w:p w:rsid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D11BC" w:rsidRPr="005D11BC" w:rsidRDefault="005D11BC" w:rsidP="005D11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Internal audit by management of the Institution. </w:t>
      </w:r>
    </w:p>
    <w:p w:rsidR="005D11BC" w:rsidRPr="005D11BC" w:rsidRDefault="005D11BC" w:rsidP="005D11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Internal Audit by Chartered Accountant. </w:t>
      </w:r>
    </w:p>
    <w:p w:rsidR="005D11BC" w:rsidRPr="005D11BC" w:rsidRDefault="005D11BC" w:rsidP="005D11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Government audit by Collegiate Education Directorate, Govt. of Kerala and </w:t>
      </w:r>
      <w:r w:rsidR="002B5FC2"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>Accountant</w:t>
      </w:r>
      <w:bookmarkStart w:id="0" w:name="_GoBack"/>
      <w:bookmarkEnd w:id="0"/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General, </w:t>
      </w:r>
    </w:p>
    <w:p w:rsidR="005D11BC" w:rsidRPr="005D11BC" w:rsidRDefault="005D11BC" w:rsidP="005D11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Govt. of India. </w:t>
      </w:r>
    </w:p>
    <w:p w:rsidR="005D11BC" w:rsidRPr="005D11BC" w:rsidRDefault="005D11BC" w:rsidP="005D11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UGC: Account will be settled and audited statement will be submitted to UGC for the utilization of </w:t>
      </w:r>
    </w:p>
    <w:p w:rsidR="005D11BC" w:rsidRPr="005D11BC" w:rsidRDefault="005D11BC" w:rsidP="005D11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grants/aids for the respective plan period. XI Plan: 2007-11 and XII plan: 2012-17 </w:t>
      </w:r>
    </w:p>
    <w:p w:rsid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XII </w:t>
      </w:r>
      <w:proofErr w:type="spellStart"/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>th</w:t>
      </w:r>
      <w:proofErr w:type="spellEnd"/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Plan- 2011-17 </w:t>
      </w:r>
    </w:p>
    <w:p w:rsid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includes scrutiny of the following: (a) all receipts from fee, donations, grants, contributions, interest earned and returns on investments; (b) all payments to staff, vendors, contractors, students and other service providers. 3. All observations/objections of AG are communicated through their report. </w:t>
      </w:r>
    </w:p>
    <w:p w:rsid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income expenditure made on various heads and categorized and audited annually such as </w:t>
      </w: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Infrastructure, Book and Journals, electricity and water charges etc. </w:t>
      </w:r>
    </w:p>
    <w:p w:rsid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Government audit is conducted regularly as per the requirement of Government of Kerala usually in connection with the retirement of Library and Principal for periodic Evaluation. Audit may take 2-3 days. </w:t>
      </w: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the audit </w:t>
      </w:r>
    </w:p>
    <w:p w:rsidR="005D11BC" w:rsidRPr="005D11BC" w:rsidRDefault="005D11BC" w:rsidP="005D11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Objection will be attempted in time </w:t>
      </w:r>
    </w:p>
    <w:p w:rsidR="005D11BC" w:rsidRPr="005D11BC" w:rsidRDefault="005D11BC" w:rsidP="005D11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>Rectification/clarification will done on the basis of higher audits</w:t>
      </w: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Chartered Accountant of the Institute conducts regular accounts audit and certifies its Annual Financial Statements. All Utilization Certificates to various grant giving agencies are also countersigned by the CA. </w:t>
      </w:r>
    </w:p>
    <w:p w:rsid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D11BC" w:rsidRPr="005D11BC" w:rsidRDefault="005D11BC" w:rsidP="005D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Work of Internal Audit of the Institute has been entrusted to the Internal Auditor of the Institute. This is mainly pre-audit of major receipts and payments (above </w:t>
      </w:r>
      <w:proofErr w:type="spellStart"/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>Rs</w:t>
      </w:r>
      <w:proofErr w:type="spellEnd"/>
      <w:r w:rsidRPr="005D11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50 thousand each) and concurrent/post audit of all other receipts and payments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5D11BC" w:rsidRPr="005D11BC" w:rsidTr="005D1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1BC" w:rsidRPr="005D11BC" w:rsidRDefault="005D11BC" w:rsidP="005D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5D11BC" w:rsidRPr="005D11BC" w:rsidRDefault="005D11BC" w:rsidP="005D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D275E9" w:rsidRDefault="00D275E9"/>
    <w:sectPr w:rsidR="00D27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845BD"/>
    <w:multiLevelType w:val="hybridMultilevel"/>
    <w:tmpl w:val="31A01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62A9E"/>
    <w:multiLevelType w:val="hybridMultilevel"/>
    <w:tmpl w:val="52AC1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F5D17"/>
    <w:multiLevelType w:val="hybridMultilevel"/>
    <w:tmpl w:val="E8D4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BC"/>
    <w:rsid w:val="002B5FC2"/>
    <w:rsid w:val="005D11BC"/>
    <w:rsid w:val="00D2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CC322-FDCE-4D34-8174-48343956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1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4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74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1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63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15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5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8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1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6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1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30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6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47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15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50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5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07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8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HP</cp:lastModifiedBy>
  <cp:revision>2</cp:revision>
  <dcterms:created xsi:type="dcterms:W3CDTF">2022-04-21T02:16:00Z</dcterms:created>
  <dcterms:modified xsi:type="dcterms:W3CDTF">2022-04-22T06:22:00Z</dcterms:modified>
</cp:coreProperties>
</file>